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55" w:rsidRDefault="00681755" w:rsidP="00681755">
      <w:pPr>
        <w:jc w:val="right"/>
        <w:rPr>
          <w:strike/>
          <w:color w:val="FF0000"/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681755" w:rsidRDefault="00681755" w:rsidP="00681755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Инспекции ГСН Камчатского края</w:t>
      </w:r>
    </w:p>
    <w:p w:rsidR="00681755" w:rsidRDefault="00681755" w:rsidP="00681755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02.12.2020 г. N 416</w:t>
      </w:r>
    </w:p>
    <w:p w:rsidR="00681755" w:rsidRDefault="00681755" w:rsidP="00681755">
      <w:pPr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81755" w:rsidRDefault="00681755" w:rsidP="00681755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81755" w:rsidRDefault="00681755" w:rsidP="006817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681755" w:rsidRDefault="00681755" w:rsidP="006817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 в области долевого строительства многоквартирных домов и (или) иных объектов недвижимости</w:t>
      </w:r>
    </w:p>
    <w:p w:rsidR="00681755" w:rsidRDefault="00681755" w:rsidP="006817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1755" w:rsidRDefault="00681755" w:rsidP="0068175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I. Международные договоры Российской Федерации и акты органов Евразийского экономического союза</w:t>
      </w:r>
    </w:p>
    <w:p w:rsidR="00681755" w:rsidRDefault="00681755" w:rsidP="0068175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Отсутствуют</w:t>
      </w:r>
    </w:p>
    <w:p w:rsidR="00681755" w:rsidRDefault="00681755" w:rsidP="006817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1755" w:rsidRDefault="00681755" w:rsidP="0068175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II. Федеральные законы</w:t>
      </w:r>
    </w:p>
    <w:p w:rsidR="00681755" w:rsidRDefault="00681755" w:rsidP="006817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75"/>
        <w:gridCol w:w="3900"/>
        <w:gridCol w:w="2220"/>
      </w:tblGrid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Юридические лица и индивидуальные предприниматели, привлекающие денежные средства граждан и юридических лиц для долевого строительства многоквартирных домов и (или) иных объектов недвижимости, являющиеся застройщиками в соответствии с п. 1 ст. 2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proofErr w:type="gramEnd"/>
            <w:r>
              <w:rPr>
                <w:sz w:val="26"/>
                <w:szCs w:val="26"/>
              </w:rPr>
              <w:t>» (далее по тексту – Застройщики)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акт</w:t>
            </w:r>
          </w:p>
        </w:tc>
      </w:tr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Застройщики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2</w:t>
            </w:r>
          </w:p>
        </w:tc>
      </w:tr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</w:t>
            </w:r>
            <w:hyperlink r:id="rId5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закон</w:t>
              </w:r>
            </w:hyperlink>
            <w:r>
              <w:rPr>
                <w:sz w:val="26"/>
                <w:szCs w:val="26"/>
              </w:rPr>
              <w:t xml:space="preserve"> от 26.10.2002</w:t>
            </w:r>
          </w:p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127-ФЗ «О несостоятельности (банкротстве)»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Застройщики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Параграф 7 статьи  201.1-201.15-3</w:t>
            </w:r>
          </w:p>
        </w:tc>
      </w:tr>
    </w:tbl>
    <w:p w:rsidR="00681755" w:rsidRDefault="00681755" w:rsidP="006817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1755" w:rsidRDefault="00681755" w:rsidP="00681755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I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I. Указы Президента Российской Федерации, постановления и распоряжения Правительства Российской Федерации</w:t>
      </w:r>
    </w:p>
    <w:p w:rsidR="00681755" w:rsidRDefault="00681755" w:rsidP="006817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84"/>
        <w:gridCol w:w="2409"/>
        <w:gridCol w:w="2127"/>
        <w:gridCol w:w="1828"/>
      </w:tblGrid>
      <w:tr w:rsidR="00681755" w:rsidTr="006817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утверждении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1755" w:rsidTr="006817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hyperlink r:id="rId6" w:history="1">
              <w:r>
                <w:rPr>
                  <w:rStyle w:val="a3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Состав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документов, необходимых для проведения операций по расчетному счету застройщика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spacing w:after="18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01.08.2018 № 897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spacing w:after="18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Застройщики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spacing w:after="18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Весь перечень.</w:t>
            </w:r>
          </w:p>
        </w:tc>
      </w:tr>
      <w:tr w:rsidR="00681755" w:rsidTr="006817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Положение о нормативах финансовой устойчивости деятельности застройщика.</w:t>
            </w:r>
          </w:p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Постановление Правительства РФ от 26.12.2018 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N 1683.</w:t>
            </w:r>
          </w:p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Застройщики, за исключением застройщиков,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заключивших договор участия в долевом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строительстве с учетом </w:t>
            </w:r>
            <w:hyperlink r:id="rId7" w:history="1">
              <w:r>
                <w:rPr>
                  <w:rStyle w:val="a3"/>
                  <w:rFonts w:eastAsiaTheme="minorHAnsi"/>
                  <w:sz w:val="26"/>
                  <w:szCs w:val="26"/>
                  <w:u w:val="none"/>
                  <w:lang w:eastAsia="en-US"/>
                </w:rPr>
                <w:t>особенностей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привлечения застройщиком денежных средств участников долевого строительства в случае размещения таких средств на счетах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эскроу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Весь акт.</w:t>
            </w:r>
          </w:p>
        </w:tc>
      </w:tr>
      <w:tr w:rsidR="00681755" w:rsidTr="006817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spacing w:before="100" w:beforeAutospacing="1"/>
              <w:jc w:val="both"/>
              <w:rPr>
                <w:sz w:val="26"/>
                <w:szCs w:val="26"/>
              </w:rPr>
            </w:pPr>
            <w:hyperlink r:id="rId8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        </w:r>
            </w:hyperlink>
          </w:p>
          <w:p w:rsidR="00681755" w:rsidRDefault="00681755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Застройщики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 7-13</w:t>
            </w:r>
          </w:p>
        </w:tc>
      </w:tr>
      <w:tr w:rsidR="00681755" w:rsidTr="006817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Правила размещения информации субъектами информации, обязательное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размещение которой предусмотрено законодательством российской федерации, в единой информационной системе жилищного строительства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Постановление Правительства РФ от 26.03.2019 N 319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Застройщики.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 9, 10, 10 (1), 10 (2), 10 (3).</w:t>
            </w:r>
          </w:p>
        </w:tc>
      </w:tr>
      <w:tr w:rsidR="00681755" w:rsidTr="006817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Правила взаимодействия министерства строительства и жилищно-коммунального хозяйства российской федерации, федеральной службы государственной регистрации, кадастра и картографии и ее территориальных органов, контролирующих органов, публично-правовой компании "фонд защиты прав граждан - участников долевого строительства", уполномоченных банков и застройщиков при использовании ими информационных ресурсов единой информационной системы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жилищного строительства, в том числе личных кабинетов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Постановление Правительства РФ от 26.03.2019 N 319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Застройщики.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 1, 2, 4, 5.</w:t>
            </w:r>
          </w:p>
        </w:tc>
      </w:tr>
      <w:tr w:rsidR="00681755" w:rsidTr="006817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Перечень документов, представляемых застройщиком для определения соответствия многоквартирного дома и (или) иного объекта недвижимости (проекта строительства) критериям, определяющим степень готовности многоквартирного дома и (или) иного объекта недвижимости (проекта строительства)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закона "об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Постановление Правительства РФ от 22.04.2019 N 480</w:t>
            </w:r>
          </w:p>
          <w:p w:rsidR="00681755" w:rsidRDefault="006817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Застройщики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перечень.</w:t>
            </w:r>
          </w:p>
        </w:tc>
      </w:tr>
    </w:tbl>
    <w:p w:rsidR="00681755" w:rsidRDefault="00681755" w:rsidP="006817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1755" w:rsidRDefault="00681755" w:rsidP="0068175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I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681755" w:rsidRDefault="00681755" w:rsidP="006817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03"/>
        <w:gridCol w:w="2292"/>
        <w:gridCol w:w="2116"/>
        <w:gridCol w:w="1984"/>
      </w:tblGrid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утверждении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Формы и порядок предоставления застройщиками в контролирующий орган отчетности об осуществлении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55" w:rsidRDefault="0068175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Приказ Минстроя России от 12.10.2018 № 656/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«Об утверждении формы и порядка предоставления застройщиками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строительства»</w:t>
            </w:r>
          </w:p>
          <w:p w:rsidR="00681755" w:rsidRDefault="00681755">
            <w:pPr>
              <w:pStyle w:val="ConsPlusNormal"/>
              <w:ind w:left="51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Застройщики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Порядок расчета нормативов финансовой устойчивости деятельности застройщика, получившего разрешение на строительство до 1 июля 2018 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Приказ Минстроя России от 15.05.2019 № 278/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«Об утверждении порядка расчета норматива обеспеченности обязательств и норматива целевого использования средств»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Застройщики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Форма проектной декларации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Приказ Минстроя России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20.12.2016 № 996/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«Об утверждении формы проектной декларации»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Застройщики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Форма  и порядок предоставления отчетности об осуществлении деятельности жилищно-строительного кооператива, связанной с привлечением денежных сре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дств гр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аждан для строительства жилищно-строительным кооперативом многоквартирного дома 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Приказ Минстроя России от 03.07.2017 № 955/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контроль (надзор) в области долевого строительства многоквартирных домов и (или) иных объектов недвижимости»</w:t>
            </w:r>
          </w:p>
          <w:p w:rsidR="00681755" w:rsidRDefault="0068175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55" w:rsidRDefault="006817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Жилищно-строительные кооперативы, связанные с привлечением денежных сре</w:t>
            </w:r>
            <w:proofErr w:type="gramStart"/>
            <w:r>
              <w:rPr>
                <w:sz w:val="26"/>
                <w:szCs w:val="26"/>
              </w:rPr>
              <w:t>дств гр</w:t>
            </w:r>
            <w:proofErr w:type="gramEnd"/>
            <w:r>
              <w:rPr>
                <w:sz w:val="26"/>
                <w:szCs w:val="26"/>
              </w:rPr>
              <w:t xml:space="preserve">аждан для строительства жилищно-строительным кооперативом многоквартирного дома </w:t>
            </w:r>
          </w:p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681755" w:rsidTr="006817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заявления о готовности проекта строительства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Минстроя России от 24.05.2019 № 300/</w:t>
            </w: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«Об утверждении формы заявления о готовности проекта строительства»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Застройщики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55" w:rsidRDefault="00681755">
            <w:pPr>
              <w:pStyle w:val="ConsPlusNormal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</w:tbl>
    <w:p w:rsidR="00681755" w:rsidRDefault="00681755" w:rsidP="006817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1755" w:rsidRDefault="00681755" w:rsidP="0068175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Нормативные правовые акты органов</w:t>
      </w:r>
    </w:p>
    <w:p w:rsidR="00681755" w:rsidRDefault="00681755" w:rsidP="0068175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исполнительной власти и нормативные документы органов исполнительной власти</w:t>
      </w:r>
    </w:p>
    <w:p w:rsidR="00681755" w:rsidRDefault="00681755" w:rsidP="00681755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096"/>
        <w:gridCol w:w="3489"/>
        <w:gridCol w:w="2007"/>
        <w:gridCol w:w="1570"/>
      </w:tblGrid>
      <w:tr w:rsidR="00681755" w:rsidTr="00681755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утверждении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1755" w:rsidTr="00681755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 правовые акты органов исполнительной власти субъекта</w:t>
            </w:r>
          </w:p>
        </w:tc>
      </w:tr>
      <w:tr w:rsidR="00681755" w:rsidTr="00681755">
        <w:trPr>
          <w:trHeight w:val="6262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rPr>
                <w:sz w:val="26"/>
                <w:szCs w:val="26"/>
              </w:rPr>
            </w:pPr>
            <w:hyperlink r:id="rId9" w:history="1">
              <w:proofErr w:type="spellStart"/>
              <w:proofErr w:type="gramStart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Административ-ный</w:t>
              </w:r>
              <w:proofErr w:type="spellEnd"/>
              <w:proofErr w:type="gramEnd"/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регламент</w:t>
              </w:r>
            </w:hyperlink>
            <w:r>
              <w:rPr>
                <w:sz w:val="26"/>
                <w:szCs w:val="26"/>
              </w:rPr>
              <w:t xml:space="preserve"> осу-</w:t>
            </w:r>
          </w:p>
          <w:p w:rsidR="00681755" w:rsidRDefault="00681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осуществления  </w:t>
            </w:r>
          </w:p>
          <w:p w:rsidR="00681755" w:rsidRDefault="00681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Инспекцией государственного строительного надзора Камчатского края регионального государственного контроля (надзора) в области долевого строительства многоквартирных домов и (или) иных объектов недвижимости 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after="180"/>
              <w:rPr>
                <w:sz w:val="26"/>
                <w:szCs w:val="26"/>
              </w:rPr>
            </w:pPr>
            <w:hyperlink r:id="rId10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приказ</w:t>
              </w:r>
            </w:hyperlink>
            <w:r>
              <w:rPr>
                <w:sz w:val="26"/>
                <w:szCs w:val="26"/>
              </w:rPr>
              <w:t>  Инспекции государственного строительного надзора Камчатского края от 23.10.2020 № 352</w:t>
            </w:r>
          </w:p>
          <w:p w:rsidR="00681755" w:rsidRDefault="00681755">
            <w:pPr>
              <w:spacing w:after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after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Застройщики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after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акт</w:t>
            </w:r>
          </w:p>
        </w:tc>
      </w:tr>
      <w:tr w:rsidR="00681755" w:rsidTr="00681755">
        <w:trPr>
          <w:trHeight w:val="529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hyperlink r:id="rId11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Перечень</w:t>
              </w:r>
            </w:hyperlink>
            <w:r>
              <w:rPr>
                <w:sz w:val="26"/>
                <w:szCs w:val="26"/>
              </w:rPr>
              <w:t xml:space="preserve"> сведений и документов, которые необходимы для осуществления контроля и надзора в области долевого строительства многоквартирных домов и (или) иных объектов недвижимости на территории Камчатского края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755" w:rsidRDefault="0068175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hyperlink r:id="rId12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Постановление</w:t>
              </w:r>
            </w:hyperlink>
            <w:r>
              <w:rPr>
                <w:sz w:val="26"/>
                <w:szCs w:val="26"/>
              </w:rPr>
              <w:t> Правительства Камчатского края от 10.01.2012 № 5-П</w:t>
            </w:r>
          </w:p>
          <w:p w:rsidR="00681755" w:rsidRDefault="00681755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Застройщики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755" w:rsidRDefault="0068175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акт</w:t>
            </w:r>
          </w:p>
        </w:tc>
      </w:tr>
    </w:tbl>
    <w:p w:rsidR="00681755" w:rsidRDefault="00681755" w:rsidP="0068175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81755" w:rsidRDefault="00681755" w:rsidP="006817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1755" w:rsidRDefault="00681755" w:rsidP="00681755">
      <w:pPr>
        <w:autoSpaceDE w:val="0"/>
        <w:autoSpaceDN w:val="0"/>
        <w:adjustRightInd w:val="0"/>
        <w:jc w:val="both"/>
      </w:pPr>
    </w:p>
    <w:p w:rsidR="00681755" w:rsidRDefault="00681755" w:rsidP="00681755">
      <w:pPr>
        <w:autoSpaceDE w:val="0"/>
        <w:autoSpaceDN w:val="0"/>
        <w:adjustRightInd w:val="0"/>
        <w:jc w:val="both"/>
      </w:pPr>
    </w:p>
    <w:p w:rsidR="00681755" w:rsidRDefault="00681755" w:rsidP="00681755">
      <w:pPr>
        <w:autoSpaceDE w:val="0"/>
        <w:autoSpaceDN w:val="0"/>
        <w:adjustRightInd w:val="0"/>
        <w:jc w:val="both"/>
      </w:pPr>
    </w:p>
    <w:p w:rsidR="00681755" w:rsidRDefault="00681755" w:rsidP="00681755">
      <w:pPr>
        <w:autoSpaceDE w:val="0"/>
        <w:autoSpaceDN w:val="0"/>
        <w:adjustRightInd w:val="0"/>
        <w:jc w:val="both"/>
      </w:pPr>
    </w:p>
    <w:p w:rsidR="00681755" w:rsidRDefault="00681755" w:rsidP="00681755">
      <w:pPr>
        <w:jc w:val="center"/>
        <w:rPr>
          <w:sz w:val="26"/>
          <w:szCs w:val="26"/>
        </w:rPr>
      </w:pPr>
    </w:p>
    <w:p w:rsidR="005E3A5D" w:rsidRDefault="005E3A5D">
      <w:bookmarkStart w:id="0" w:name="_GoBack"/>
      <w:bookmarkEnd w:id="0"/>
    </w:p>
    <w:sectPr w:rsidR="005E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87"/>
    <w:rsid w:val="001E0187"/>
    <w:rsid w:val="005E3A5D"/>
    <w:rsid w:val="0068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1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1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60936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D21B1BD9B731F99BB4A68625B99EBF7796B08A164A0A8241F34725D23A852D2EAF64EED6FDF428CC47BD38D44AE7C158EAD01B3D605DC07AwCG" TargetMode="External"/><Relationship Id="rId12" Type="http://schemas.openxmlformats.org/officeDocument/2006/relationships/hyperlink" Target="http://primorsky.ru/authorities/executive-agencies/offices/share-building-supervision/position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D973C34A205916222BCCFBC5FF446140E28CA0870E22F8712895A37D1D29844B91E18D1B69AB998D2468A214207ABEA96A039A7A68BFEx227U" TargetMode="External"/><Relationship Id="rId11" Type="http://schemas.openxmlformats.org/officeDocument/2006/relationships/hyperlink" Target="consultantplus://offline/ref=E866A7A5B6CBFAF4567237ED4684BB56A0B832401100E161EA5ED2BBB66768016143B7B199CD5509CA5A4EN43DL" TargetMode="External"/><Relationship Id="rId5" Type="http://schemas.openxmlformats.org/officeDocument/2006/relationships/hyperlink" Target="consultantplus://offline/ref=8F5DE3130CC9526B20267B8A7CD3E2E38E4F5C6073ABDB0C5CE8C50A61a0g3D" TargetMode="External"/><Relationship Id="rId10" Type="http://schemas.openxmlformats.org/officeDocument/2006/relationships/hyperlink" Target="https://www.kamgov.ru/instroy/document/frontend-document/view-npa?id=23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instroy/document/frontend-document/view-npa?id=238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3</cp:revision>
  <dcterms:created xsi:type="dcterms:W3CDTF">2020-12-06T23:47:00Z</dcterms:created>
  <dcterms:modified xsi:type="dcterms:W3CDTF">2020-12-06T23:47:00Z</dcterms:modified>
</cp:coreProperties>
</file>