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95" w:rsidRDefault="00C57B95" w:rsidP="00C57B9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Статистика и анализ примененных к подконтрольным субъектам мер юридической ответственности</w:t>
      </w:r>
    </w:p>
    <w:p w:rsidR="00C57B95" w:rsidRDefault="00C57B95" w:rsidP="00C57B9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За ответный период Инспекцией в рамках осуществления регионального государственного строительного надзора возбуждено 11 дел об административных правонарушениях. </w:t>
      </w: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3E506EB6" wp14:editId="2EB4058C">
            <wp:extent cx="6010275" cy="22098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4B45A5FF" wp14:editId="49FE152E">
            <wp:extent cx="6000750" cy="24288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7B95" w:rsidRDefault="00C57B95" w:rsidP="00C57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7B95" w:rsidRPr="00BD69C0" w:rsidRDefault="00C57B95" w:rsidP="00C57B95">
      <w:pPr>
        <w:pStyle w:val="a3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w:r w:rsidRPr="00BD69C0">
        <w:rPr>
          <w:b/>
          <w:sz w:val="28"/>
          <w:szCs w:val="28"/>
        </w:rPr>
        <w:t>Анализ практики составления протоколов об административных правонарушениях, практик</w:t>
      </w:r>
      <w:r>
        <w:rPr>
          <w:b/>
          <w:sz w:val="28"/>
          <w:szCs w:val="28"/>
        </w:rPr>
        <w:t>и</w:t>
      </w:r>
      <w:r w:rsidRPr="00BD69C0">
        <w:rPr>
          <w:b/>
          <w:sz w:val="28"/>
          <w:szCs w:val="28"/>
        </w:rPr>
        <w:t xml:space="preserve"> рассмотрения дел об административных правонарушениях, в том числе, в случае отказа в привлечении подконтрольных субъектов, их должностных лиц к административной ответственности</w:t>
      </w: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В </w:t>
      </w:r>
      <w:r>
        <w:rPr>
          <w:rFonts w:eastAsiaTheme="minorEastAsia"/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</w:rPr>
        <w:t xml:space="preserve"> квартале 2020 года по результатам рассмотрения дел об административных правонарушениях, возбужденных в рамках осуществления регионального государственного строительного надзора, было прекращено 2 дела об административных правонарушениях.</w:t>
      </w: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Анализ результатов рассмотрения дел об административных правонарушениях, возбужденных Инспекцией, установлено, что на стадии выявления признаков состава административного правонарушения должностными лицами Инспекции, уполномоченными на составление протоколов, уделяется не достаточное внимание к наличию всех элементов </w:t>
      </w:r>
      <w:r>
        <w:rPr>
          <w:rFonts w:eastAsiaTheme="minorEastAsia"/>
          <w:sz w:val="28"/>
          <w:szCs w:val="28"/>
        </w:rPr>
        <w:lastRenderedPageBreak/>
        <w:t>соответствующих составов административных правонарушений, а именно объективной стороны и субъекта правонарушения. Данное упущение влечет за собой возбуждение административных дел, безусловно, подлежащих прекращению.</w:t>
      </w: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 w:rsidRPr="00CB7D45">
        <w:rPr>
          <w:rFonts w:eastAsiaTheme="minorEastAsia"/>
          <w:sz w:val="28"/>
          <w:szCs w:val="28"/>
        </w:rPr>
        <w:t xml:space="preserve">При решении вопроса о возбуждении дела об административном правонарушении, предусмотренном ч. 6 ст. 19.5 КоАП РФ, </w:t>
      </w:r>
      <w:r>
        <w:rPr>
          <w:rFonts w:eastAsiaTheme="minorEastAsia"/>
          <w:sz w:val="28"/>
          <w:szCs w:val="28"/>
        </w:rPr>
        <w:t>необходимо обращать внимание на наличие элемента объективной стороны названного состава, как законность предписания.</w:t>
      </w:r>
    </w:p>
    <w:p w:rsidR="00C57B95" w:rsidRDefault="00C57B95" w:rsidP="00C57B9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CB7D45">
        <w:rPr>
          <w:rFonts w:eastAsiaTheme="minorEastAsia"/>
          <w:sz w:val="28"/>
          <w:szCs w:val="28"/>
        </w:rPr>
        <w:t>При решении вопроса о возбуждении дела об административном правонарушении, предусмотренном ст. 9.</w:t>
      </w:r>
      <w:r>
        <w:rPr>
          <w:rFonts w:eastAsiaTheme="minorEastAsia"/>
          <w:sz w:val="28"/>
          <w:szCs w:val="28"/>
        </w:rPr>
        <w:t>4</w:t>
      </w:r>
      <w:r w:rsidRPr="00CB7D45">
        <w:rPr>
          <w:rFonts w:eastAsiaTheme="minorEastAsia"/>
          <w:sz w:val="28"/>
          <w:szCs w:val="28"/>
        </w:rPr>
        <w:t xml:space="preserve"> КоАП РФ, </w:t>
      </w:r>
      <w:r>
        <w:rPr>
          <w:rFonts w:eastAsiaTheme="minorEastAsia"/>
          <w:sz w:val="28"/>
          <w:szCs w:val="28"/>
        </w:rPr>
        <w:t xml:space="preserve">то есть нарушение требований проектной документации при строительстве, реконструкции объектов капитального строительства, необходимо учитывать, что субъектом указанного состава может быть только лицо, непосредственно осуществляющее строительство, то есть выполнившее </w:t>
      </w:r>
      <w:proofErr w:type="gramStart"/>
      <w:r>
        <w:rPr>
          <w:rFonts w:eastAsiaTheme="minorEastAsia"/>
          <w:sz w:val="28"/>
          <w:szCs w:val="28"/>
        </w:rPr>
        <w:t>работы</w:t>
      </w:r>
      <w:proofErr w:type="gramEnd"/>
      <w:r>
        <w:rPr>
          <w:rFonts w:eastAsiaTheme="minorEastAsia"/>
          <w:sz w:val="28"/>
          <w:szCs w:val="28"/>
        </w:rPr>
        <w:t xml:space="preserve"> при производстве которых было допущено нарушение требований проектной документации.</w:t>
      </w: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D8731F" w:rsidRDefault="00D8731F"/>
    <w:sectPr w:rsidR="00D8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2"/>
    <w:rsid w:val="00C57B95"/>
    <w:rsid w:val="00D8731F"/>
    <w:rsid w:val="00E5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2"/>
          </c:dPt>
          <c:dPt>
            <c:idx val="1"/>
            <c:bubble3D val="0"/>
            <c:explosion val="35"/>
          </c:dPt>
          <c:dPt>
            <c:idx val="2"/>
            <c:bubble3D val="0"/>
            <c:explosion val="13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Нарушение требований проектной документации, технических регламентов при строительстве, реконструкции объектов капитального строительства ст. 9.4 КоАП РФ</c:v>
                </c:pt>
                <c:pt idx="1">
                  <c:v>Нарушение установленного порядке строительства, реконструкции объекта капитального строительства, ввода его в эксплуатацию ст. 9.5 КоАП РФ</c:v>
                </c:pt>
                <c:pt idx="2">
                  <c:v>Невыполнение в срок законного предписания Инспекции ч. 6 ст. 19.5 КоАП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864864752444765"/>
          <c:y val="0.13404438081603437"/>
          <c:w val="0.42867306404449046"/>
          <c:h val="0.731911238367931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рассмотрения дел об административных правонарушениях</a:t>
            </a:r>
          </a:p>
        </c:rich>
      </c:tx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дел об административных правонарушениях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Находится на рассмотрении в суде</c:v>
                </c:pt>
                <c:pt idx="1">
                  <c:v>Производство по делу прекращено</c:v>
                </c:pt>
                <c:pt idx="2">
                  <c:v>Назначено наказание в виде административного штрафа</c:v>
                </c:pt>
                <c:pt idx="3">
                  <c:v>Назначено наказание в виде предупреждения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Геннадьевна</dc:creator>
  <cp:keywords/>
  <dc:description/>
  <cp:lastModifiedBy>Кашина Наталья Геннадьевна</cp:lastModifiedBy>
  <cp:revision>2</cp:revision>
  <dcterms:created xsi:type="dcterms:W3CDTF">2020-04-19T22:46:00Z</dcterms:created>
  <dcterms:modified xsi:type="dcterms:W3CDTF">2020-04-19T22:47:00Z</dcterms:modified>
</cp:coreProperties>
</file>